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A5" w:rsidRPr="004323BC" w:rsidRDefault="002400A5" w:rsidP="00240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освіти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Коломийської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ради </w:t>
      </w:r>
    </w:p>
    <w:p w:rsidR="002400A5" w:rsidRPr="004323BC" w:rsidRDefault="002400A5" w:rsidP="002400A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 </w:t>
      </w:r>
    </w:p>
    <w:p w:rsidR="002400A5" w:rsidRPr="004323BC" w:rsidRDefault="002400A5" w:rsidP="00240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технічних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розміру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2400A5" w:rsidRPr="004323BC" w:rsidRDefault="002400A5" w:rsidP="00240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Природний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</w:t>
      </w:r>
      <w:r w:rsidR="00654B9F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;</w:t>
      </w: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 09120000-</w:t>
      </w:r>
      <w:proofErr w:type="gram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proofErr w:type="gram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Газове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паливо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за ДК 021:2015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Єдиного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закупівельного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словника</w:t>
      </w:r>
    </w:p>
    <w:p w:rsidR="002400A5" w:rsidRPr="004323BC" w:rsidRDefault="002400A5" w:rsidP="00240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</w:t>
      </w:r>
      <w:proofErr w:type="spellStart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оприлюднюється</w:t>
      </w:r>
      <w:proofErr w:type="spellEnd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постанови КМУ № 710 </w:t>
      </w:r>
      <w:proofErr w:type="spellStart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від</w:t>
      </w:r>
      <w:proofErr w:type="spellEnd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11.10.2016 «Про </w:t>
      </w:r>
      <w:proofErr w:type="spellStart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ефективне</w:t>
      </w:r>
      <w:proofErr w:type="spellEnd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державних</w:t>
      </w:r>
      <w:proofErr w:type="spellEnd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 (</w:t>
      </w:r>
      <w:proofErr w:type="spellStart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зі</w:t>
      </w:r>
      <w:proofErr w:type="spellEnd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змінами</w:t>
      </w:r>
      <w:proofErr w:type="spellEnd"/>
      <w:r w:rsidRPr="004323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))</w:t>
      </w:r>
    </w:p>
    <w:p w:rsidR="002400A5" w:rsidRPr="004323BC" w:rsidRDefault="002400A5" w:rsidP="002400A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 xml:space="preserve">Управління освіти Коломийської міської ради Івано-Франківської області, вул. </w:t>
      </w: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Кобринського,10 м.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Коломия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Івано-Франківська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область,78203, код 02143442,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юридичні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особи,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які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забезпечують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потреби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держави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або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територіальної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громади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F06628" w:rsidRPr="004323BC" w:rsidRDefault="002400A5" w:rsidP="00F06628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 w:themeColor="text1"/>
          <w:sz w:val="24"/>
          <w:szCs w:val="24"/>
        </w:rPr>
      </w:pPr>
      <w:r w:rsidRPr="004323BC">
        <w:rPr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F06628" w:rsidRPr="004323BC">
        <w:rPr>
          <w:b w:val="0"/>
          <w:color w:val="000000" w:themeColor="text1"/>
          <w:sz w:val="24"/>
          <w:szCs w:val="24"/>
        </w:rPr>
        <w:t>Природний газ; код 09120000-6 Газове паливо за ДК 021:2015 «Єдиний закупівельний словник»</w:t>
      </w:r>
    </w:p>
    <w:p w:rsidR="002400A5" w:rsidRPr="004323BC" w:rsidRDefault="002400A5" w:rsidP="002400A5">
      <w:pPr>
        <w:spacing w:before="280" w:after="2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06628" w:rsidRPr="004323BC" w:rsidRDefault="002400A5" w:rsidP="002400A5">
      <w:pPr>
        <w:spacing w:before="280" w:after="2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Вид та ідентифікатор процедури закупівлі</w:t>
      </w:r>
      <w:r w:rsidRPr="004323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:</w:t>
      </w: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00F06628"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Відкриті</w:t>
      </w:r>
      <w:proofErr w:type="spellEnd"/>
      <w:r w:rsidR="00F06628"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торги з </w:t>
      </w:r>
      <w:proofErr w:type="spellStart"/>
      <w:r w:rsidR="00F06628"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особливостями</w:t>
      </w:r>
      <w:proofErr w:type="spellEnd"/>
      <w:r w:rsidR="00F06628" w:rsidRPr="004323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56366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UA-2024-10-16-008292-a</w:t>
      </w:r>
    </w:p>
    <w:p w:rsidR="002400A5" w:rsidRPr="004323BC" w:rsidRDefault="002400A5" w:rsidP="002400A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Очікувана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вартість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  </w:t>
      </w:r>
    </w:p>
    <w:p w:rsidR="006248FA" w:rsidRPr="004323BC" w:rsidRDefault="00F56366" w:rsidP="002400A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348 492,49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7FA"/>
          <w:lang w:val="uk-UA"/>
        </w:rPr>
        <w:t xml:space="preserve"> </w:t>
      </w:r>
      <w:r w:rsidR="002400A5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грн.</w:t>
      </w:r>
      <w:r w:rsidR="006248FA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6248FA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Визначення очікуваної вартості предмета закупівлі</w:t>
      </w:r>
      <w:r w:rsidR="006248FA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AF352A" w:rsidRPr="004323BC" w:rsidRDefault="006248FA" w:rsidP="002400A5">
      <w:pPr>
        <w:spacing w:before="280" w:after="2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Кабінет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Міністрів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України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постановою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23.08.2024 № 957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дав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змогу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деяким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замовникам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продовжити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закуповувати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природний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газ в Нафтогаз Трейдингу за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пільговим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тарифом по 30.04.2025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включно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400A5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Замовником здійснено розрахунок очікуваної вартості товар</w:t>
      </w:r>
      <w:r w:rsidR="00F06628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 </w:t>
      </w:r>
      <w:r w:rsidR="002400A5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</w:t>
      </w: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 урахуванням ПКМУ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23.08.2024 № 957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 w:rsidR="00AF352A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</w:t>
      </w:r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остачальники газу диференціюють свої ціни, встановлюючи різну вартість газу за умови передоплати, або при оплаті за фактом споживання.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Деякі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постачальники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встановлюють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також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окремі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ціни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релігійних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установ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або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установ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фінансуються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держбюджету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Крім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того,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ціни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газ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можуть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залежати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й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від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обсягів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постачання</w:t>
      </w:r>
      <w:proofErr w:type="spellEnd"/>
      <w:r w:rsidR="00AF352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газу.</w:t>
      </w:r>
    </w:p>
    <w:p w:rsidR="002400A5" w:rsidRPr="004323BC" w:rsidRDefault="00AF352A" w:rsidP="00AF352A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323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 01 вересня 202</w:t>
      </w:r>
      <w:r w:rsidR="006248FA" w:rsidRPr="004323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4</w:t>
      </w:r>
      <w:r w:rsidRPr="004323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року по </w:t>
      </w:r>
      <w:r w:rsidR="006248FA" w:rsidRPr="004323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30</w:t>
      </w:r>
      <w:r w:rsidRPr="004323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квітня</w:t>
      </w:r>
      <w:proofErr w:type="spellEnd"/>
      <w:r w:rsidRPr="004323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6248FA" w:rsidRPr="004323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5 </w:t>
      </w:r>
      <w:r w:rsidRPr="004323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року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згідно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механізмом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Положення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покладення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спеціальних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обов’язків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суб’єктів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ринку природного газу для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забезпечення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загальносуспільних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інтересів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процесі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функціонування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ринку природного газу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особливостей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постачання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природного газу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виробникам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теплової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енергії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бюджетним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установам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затвердженого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постановою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Кабінету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Міністрів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України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48FA" w:rsidRPr="004323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від</w:t>
      </w:r>
      <w:proofErr w:type="spellEnd"/>
      <w:r w:rsidR="006248FA" w:rsidRPr="004323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23 </w:t>
      </w:r>
      <w:proofErr w:type="spellStart"/>
      <w:r w:rsidR="006248FA" w:rsidRPr="004323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серпня</w:t>
      </w:r>
      <w:proofErr w:type="spellEnd"/>
      <w:r w:rsidR="006248FA" w:rsidRPr="004323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2024 р. № 957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зокрема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оложення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визначено:</w:t>
      </w:r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ТОВ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Газопостачальна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компанія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“Нафтогаз Трейдинг”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постачає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1 вересня 2022 р. до 30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квітня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2025 р. (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включно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природний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газ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бюджетним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установам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умовах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договору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постачання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укладеного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цим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товариством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період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31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грудня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2022 р., а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також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1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січня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2024 р. до 30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квітня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2025 р. (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включно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з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ресурсів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природного газу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українського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походження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релігійним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організаціям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умовах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договору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постачання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укладеного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цим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товариством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строк до 31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грудня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2023 р., за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ціною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становить 16390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гривень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урахуванням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податку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додану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вартість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1000 куб.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метрів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газу (без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урахування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тарифу на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послуги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транспортування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природного газу для точки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виходу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коефіцієнта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який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застосовується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разі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замовлення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потужності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добу</w:t>
      </w:r>
      <w:proofErr w:type="spellEnd"/>
      <w:r w:rsidR="006248FA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наперед).</w:t>
      </w:r>
    </w:p>
    <w:p w:rsidR="005C0A9C" w:rsidRPr="004323BC" w:rsidRDefault="002400A5" w:rsidP="002C250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Розмір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2508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КЕКВ 2274 Оплата природнього </w:t>
      </w:r>
      <w:proofErr w:type="gramStart"/>
      <w:r w:rsidR="002C2508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газу  план</w:t>
      </w:r>
      <w:proofErr w:type="gramEnd"/>
      <w:r w:rsidR="002C2508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 </w:t>
      </w:r>
      <w:r w:rsidR="006248FA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4 квартал </w:t>
      </w:r>
      <w:r w:rsidR="002C2508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202</w:t>
      </w:r>
      <w:r w:rsidR="006248FA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="002C2508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</w:t>
      </w:r>
      <w:r w:rsidR="006248FA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оку </w:t>
      </w:r>
      <w:r w:rsidR="002C2508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2C2508"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2C2508" w:rsidRPr="004323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усіма </w:t>
      </w:r>
      <w:r w:rsidR="002C2508"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КПКВК </w:t>
      </w:r>
      <w:r w:rsidR="002C2508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відповідно до бюджетного  розпису  Коломийської територіальної громади видатки  загального  фонду становить </w:t>
      </w:r>
      <w:r w:rsidR="002C2508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uk-UA" w:eastAsia="ru-RU"/>
        </w:rPr>
        <w:t>1796 739,77</w:t>
      </w:r>
      <w:r w:rsidR="002C2508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грн.</w:t>
      </w:r>
    </w:p>
    <w:p w:rsidR="005C0A9C" w:rsidRPr="004323BC" w:rsidRDefault="005C0A9C" w:rsidP="00654B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</w:pPr>
    </w:p>
    <w:p w:rsidR="002400A5" w:rsidRPr="004323BC" w:rsidRDefault="002400A5" w:rsidP="00654B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технічних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та</w:t>
      </w:r>
      <w:proofErr w:type="gram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характеристик.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Термін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AF352A"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31 грудня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4323BC"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4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року. </w:t>
      </w:r>
    </w:p>
    <w:p w:rsidR="002400A5" w:rsidRPr="004323BC" w:rsidRDefault="002400A5" w:rsidP="00654B9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Технічне</w:t>
      </w:r>
      <w:proofErr w:type="spellEnd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завдання</w:t>
      </w:r>
      <w:proofErr w:type="spellEnd"/>
    </w:p>
    <w:p w:rsidR="002400A5" w:rsidRPr="004323BC" w:rsidRDefault="002400A5" w:rsidP="0065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 предмета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предмета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4323BC" w:rsidRPr="004323BC" w:rsidRDefault="004323BC" w:rsidP="00432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Замовник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самостійно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характеристики предмета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закупівлі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огляду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специфіку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закупівлі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керуючись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принципами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здійснення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з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дотриманням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законодавства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323BC" w:rsidRPr="004323BC" w:rsidRDefault="004323BC" w:rsidP="00432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Фактом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подання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тендерної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пропозиції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учасник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підтверджує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відповідність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своєї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пропозиції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технічним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якісним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кількісним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функціональним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характеристикам до предмета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у тому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числі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технічній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специфікації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(у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разі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потреби – планам,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кресленням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малюнкам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чи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опису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та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іншим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вимогам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до предмета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що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містяться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тендерній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документації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цьому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додатку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а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також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підтверджує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можливість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поставки товару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відповідно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до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вимог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визначених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згідно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з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умовами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тендерної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документації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323BC" w:rsidRPr="004323BC" w:rsidRDefault="004323BC" w:rsidP="00432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місцях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де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специфікація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містить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посилання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конкретні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марку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виробника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конкретний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характеризує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продукт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певного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суб’єкта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господарювання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торгові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марки,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патенти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конкретне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походження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спосіб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вважати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вираз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proofErr w:type="gram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або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еквівалент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323BC" w:rsidRPr="004323BC" w:rsidRDefault="004323BC" w:rsidP="00432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місцях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де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специфікація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містить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посилання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стандартні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характеристики,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регламенти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позначення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термінологію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пов’язані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товарами, роботами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послугами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закуповуються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існуючими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міжнародними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європейськими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стандартами,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спільними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європейськими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нормами,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еталонними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системами,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визнаними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європейськими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органами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стандартизації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національними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стандартами, нормами та правилами,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кожного такого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посилання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вважати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вираз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еквівалент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Таким чином,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вважається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що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до кожного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посилання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додається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вираз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або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еквівалент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4323BC" w:rsidRPr="004323BC" w:rsidRDefault="004323BC" w:rsidP="00432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Обґрунтування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необхідності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закупівлі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даного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виду товару –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замовник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закупівлю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даного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виду товару,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оскільки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він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своїми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технічними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характеристиками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найбільше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відповідатиме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потребам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замовника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323BC" w:rsidRPr="004323BC" w:rsidRDefault="004323BC" w:rsidP="004323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23BC" w:rsidRPr="004323BC" w:rsidRDefault="004323BC" w:rsidP="004323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160" w:line="259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Детальний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опис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W w:w="967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5265"/>
      </w:tblGrid>
      <w:tr w:rsidR="004323BC" w:rsidRPr="004323BC" w:rsidTr="002032DA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предмета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Природний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газ</w:t>
            </w:r>
          </w:p>
        </w:tc>
      </w:tr>
      <w:tr w:rsidR="004323BC" w:rsidRPr="004323BC" w:rsidTr="002032DA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Код ДК 021:2015 за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Єдиним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закупівельним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словником 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09120000-6 –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газове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паливо</w:t>
            </w:r>
            <w:proofErr w:type="spellEnd"/>
          </w:p>
        </w:tc>
      </w:tr>
      <w:tr w:rsidR="004323BC" w:rsidRPr="004323BC" w:rsidTr="002032DA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Назви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товару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номенклатурної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позиції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предмета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 код товару,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визначеного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згідно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Єдиним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закупівельним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словником,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найбільше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відповідає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назві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номенклатурної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позиції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предмета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природний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газ: 09123000-7 –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природний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газ</w:t>
            </w:r>
          </w:p>
        </w:tc>
      </w:tr>
      <w:tr w:rsidR="004323BC" w:rsidRPr="004323BC" w:rsidTr="002032DA">
        <w:trPr>
          <w:trHeight w:val="63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Одиниці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Тисячі 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метр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кубічн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(м. куб.)</w:t>
            </w:r>
          </w:p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23BC" w:rsidRPr="004323BC" w:rsidTr="002032DA">
        <w:trPr>
          <w:trHeight w:val="63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Кількість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обсяг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тис.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куб.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gram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F5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050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тис.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proofErr w:type="gram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куб.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4323BC" w:rsidRPr="004323BC" w:rsidTr="002032DA">
        <w:trPr>
          <w:trHeight w:val="63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поставки товару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78200, </w:t>
            </w:r>
            <w:proofErr w:type="spellStart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Україна</w:t>
            </w:r>
            <w:proofErr w:type="spellEnd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Івано-Франківська</w:t>
            </w:r>
            <w:proofErr w:type="spellEnd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місто</w:t>
            </w:r>
            <w:proofErr w:type="spellEnd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Коломия</w:t>
            </w:r>
            <w:proofErr w:type="spellEnd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Управління</w:t>
            </w:r>
            <w:proofErr w:type="spellEnd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Коломийської</w:t>
            </w:r>
            <w:proofErr w:type="spellEnd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ради</w:t>
            </w:r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23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ЕІС-код 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56X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000023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ZCA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</w:t>
            </w:r>
          </w:p>
        </w:tc>
      </w:tr>
      <w:tr w:rsidR="004323BC" w:rsidRPr="004323BC" w:rsidTr="002032DA">
        <w:trPr>
          <w:trHeight w:val="63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Строк поставки товару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3BC" w:rsidRPr="004323BC" w:rsidRDefault="004323BC" w:rsidP="0020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Цілодобово</w:t>
            </w:r>
            <w:proofErr w:type="spell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24 </w:t>
            </w:r>
            <w:proofErr w:type="gram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року </w:t>
            </w:r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включно</w:t>
            </w:r>
            <w:proofErr w:type="spellEnd"/>
            <w:proofErr w:type="gramEnd"/>
            <w:r w:rsidRPr="0043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bookmarkStart w:id="1" w:name="_GoBack"/>
            <w:bookmarkEnd w:id="1"/>
          </w:p>
        </w:tc>
      </w:tr>
    </w:tbl>
    <w:p w:rsidR="004323BC" w:rsidRPr="004323BC" w:rsidRDefault="004323BC" w:rsidP="004323B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23BC" w:rsidRPr="004323BC" w:rsidRDefault="004323BC" w:rsidP="004323BC">
      <w:pPr>
        <w:numPr>
          <w:ilvl w:val="0"/>
          <w:numId w:val="3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Постачання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природного газу,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характеристики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відповідати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нормам</w:t>
      </w:r>
      <w:proofErr w:type="gram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чинного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законодавства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323BC" w:rsidRPr="004323BC" w:rsidRDefault="004323BC" w:rsidP="004323BC">
      <w:pPr>
        <w:numPr>
          <w:ilvl w:val="0"/>
          <w:numId w:val="4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Закону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«Про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ринок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природного газу» № 329-VIII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09.04.2015;</w:t>
      </w:r>
    </w:p>
    <w:p w:rsidR="004323BC" w:rsidRPr="004323BC" w:rsidRDefault="004323BC" w:rsidP="004323BC">
      <w:pPr>
        <w:numPr>
          <w:ilvl w:val="0"/>
          <w:numId w:val="4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Правилам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постачання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природного газу,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затвердженим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постановою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Національної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комісії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державне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регулювання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сферах</w:t>
      </w:r>
      <w:proofErr w:type="gram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енергетики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комунальних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30.09.2015 № 2496;</w:t>
      </w:r>
    </w:p>
    <w:p w:rsidR="004323BC" w:rsidRPr="004323BC" w:rsidRDefault="004323BC" w:rsidP="004323BC">
      <w:pPr>
        <w:numPr>
          <w:ilvl w:val="0"/>
          <w:numId w:val="4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Кодексу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газотранспортної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затвердженому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постановою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Національної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комісії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державне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регулювання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сферах</w:t>
      </w:r>
      <w:proofErr w:type="gram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енергетики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комунальних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30.09.2015 № 2493;</w:t>
      </w:r>
    </w:p>
    <w:p w:rsidR="004323BC" w:rsidRPr="004323BC" w:rsidRDefault="004323BC" w:rsidP="004323BC">
      <w:pPr>
        <w:numPr>
          <w:ilvl w:val="0"/>
          <w:numId w:val="4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Кодексу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газорозподільних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затвердженому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постановою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Національної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комісії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державне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регулювання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сферах</w:t>
      </w:r>
      <w:proofErr w:type="gram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енергетики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комунальних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30.09.2015 № 2494;</w:t>
      </w:r>
    </w:p>
    <w:p w:rsidR="004323BC" w:rsidRPr="004323BC" w:rsidRDefault="004323BC" w:rsidP="004323BC">
      <w:pPr>
        <w:numPr>
          <w:ilvl w:val="0"/>
          <w:numId w:val="4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Іншим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нормативно-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правовим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актам,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прийнятим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Закону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«Про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ринок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природного газу».</w:t>
      </w:r>
    </w:p>
    <w:p w:rsidR="004323BC" w:rsidRPr="004323BC" w:rsidRDefault="004323BC" w:rsidP="004323B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23BC" w:rsidRPr="004323BC" w:rsidRDefault="004323BC" w:rsidP="004323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59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Вимоги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щодо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якості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4323BC" w:rsidRPr="004323BC" w:rsidRDefault="004323BC" w:rsidP="004323BC">
      <w:pPr>
        <w:ind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запропонований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учасником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повинен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відповідати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вимогам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Кодексу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газорозподільних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та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Кодексу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газотранспортної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системи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зокрема</w:t>
      </w:r>
      <w:proofErr w:type="spellEnd"/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5"/>
        <w:gridCol w:w="3324"/>
      </w:tblGrid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3BC" w:rsidRPr="004323BC" w:rsidRDefault="004323BC" w:rsidP="002032DA">
            <w:pPr>
              <w:autoSpaceDE w:val="0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Найменування</w:t>
            </w:r>
            <w:proofErr w:type="spellEnd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Теплота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згоряння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нижча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 МДж</w:t>
            </w:r>
            <w:proofErr w:type="gram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/м³ кПа,  при 20ºС/25 ºС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32,66 (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09,07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кВт</w:t>
            </w:r>
            <w:r w:rsidRPr="004323BC">
              <w:rPr>
                <w:rStyle w:val="rvts80"/>
                <w:rFonts w:ascii="Cambria Math" w:eastAsia="Arial Unicode MS" w:hAnsi="Cambria Math" w:cs="Cambria Math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⋅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/м</w:t>
            </w:r>
            <w:r w:rsidRPr="004323BC">
              <w:rPr>
                <w:rStyle w:val="rvts37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-3</w:t>
            </w:r>
            <w:r w:rsidRPr="004323BC">
              <w:rPr>
                <w:rStyle w:val="rvts3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 - 34,54 МДж/м-3 (09,59 </w:t>
            </w:r>
            <w:proofErr w:type="spellStart"/>
            <w:r w:rsidRPr="004323BC">
              <w:rPr>
                <w:rStyle w:val="rvts3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кВт</w:t>
            </w:r>
            <w:r w:rsidRPr="004323BC">
              <w:rPr>
                <w:rStyle w:val="rvts37"/>
                <w:rFonts w:ascii="Cambria Math" w:hAnsi="Cambria Math" w:cs="Cambria Math"/>
                <w:color w:val="000000" w:themeColor="text1"/>
                <w:sz w:val="24"/>
                <w:szCs w:val="24"/>
                <w:shd w:val="clear" w:color="auto" w:fill="FFFFFF"/>
              </w:rPr>
              <w:t>⋅</w:t>
            </w:r>
            <w:r w:rsidRPr="004323BC">
              <w:rPr>
                <w:rStyle w:val="rvts3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4323BC">
              <w:rPr>
                <w:rStyle w:val="rvts3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/м-3)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Теплота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згоряння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вища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 МДж</w:t>
            </w:r>
            <w:proofErr w:type="gram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/м³ кПа,  при 20ºС/25 ºС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36,20 (10,06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</w:t>
            </w:r>
            <w:r w:rsidRPr="004323BC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⋅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/м-3) - 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38,30 (10,64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</w:t>
            </w:r>
            <w:r w:rsidRPr="004323BC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⋅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/м-3)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Теплота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згоряння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вища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 МДж</w:t>
            </w:r>
            <w:proofErr w:type="gram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/м³ кПа,  при 25 °C/0 °C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38,85 (10,80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</w:t>
            </w:r>
            <w:r w:rsidRPr="004323BC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⋅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/м-3) - 41,10 (11,42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</w:t>
            </w:r>
            <w:r w:rsidRPr="004323BC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⋅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/м-3)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Вміст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метану (C1), мол. %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мінімум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Вміст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етану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(C2), мол. %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максимум 7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Вміст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пропану (C3), мол. %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максимум 3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Вміст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бутану (C4), мол. %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максимум 2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Вміст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пентану та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більш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важких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вуглеводнів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(C5+), мол. %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максимум 1 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Вміст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азоту (N2), мол. %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максимум 5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Вміст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вуглецю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(CO2), мол. %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максимум 2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Вміст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кисню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(O2), мол. %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максимум 0,2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Вміст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механічних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домішок</w:t>
            </w:r>
            <w:proofErr w:type="spellEnd"/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</w:t>
            </w:r>
            <w:proofErr w:type="spellEnd"/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Вміст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сірководню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г/м-3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максимум 0,006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Вміст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меркаптанової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сірки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г/м-3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максимум 0,02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Температура точки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вологою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°С при абсолютному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тиску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газу 3,92 МПа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перевищує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мінус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(-8)</w:t>
            </w:r>
          </w:p>
        </w:tc>
      </w:tr>
      <w:tr w:rsidR="004323BC" w:rsidRPr="004323BC" w:rsidTr="002032DA">
        <w:trPr>
          <w:trHeight w:val="2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Температура точки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вуглеводнями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температурі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газу не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нижче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°С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4323BC" w:rsidRPr="004323BC" w:rsidRDefault="004323BC" w:rsidP="002032DA">
            <w:pPr>
              <w:autoSpaceDE w:val="0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перевищує</w:t>
            </w:r>
            <w:proofErr w:type="spellEnd"/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0°С</w:t>
            </w:r>
          </w:p>
        </w:tc>
      </w:tr>
    </w:tbl>
    <w:p w:rsidR="004323BC" w:rsidRPr="004323BC" w:rsidRDefault="004323BC" w:rsidP="004323B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23BC" w:rsidRPr="004323BC" w:rsidRDefault="004323BC" w:rsidP="004323BC">
      <w:pPr>
        <w:numPr>
          <w:ilvl w:val="0"/>
          <w:numId w:val="3"/>
        </w:numPr>
        <w:tabs>
          <w:tab w:val="left" w:pos="284"/>
          <w:tab w:val="left" w:pos="993"/>
          <w:tab w:val="left" w:pos="1560"/>
        </w:tabs>
        <w:suppressAutoHyphens/>
        <w:spacing w:after="0" w:line="259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Особливі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вимоги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до предмета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323BC" w:rsidRPr="004323BC" w:rsidRDefault="004323BC" w:rsidP="004323BC">
      <w:pPr>
        <w:tabs>
          <w:tab w:val="left" w:pos="284"/>
          <w:tab w:val="left" w:pos="993"/>
          <w:tab w:val="left" w:pos="1560"/>
        </w:tabs>
        <w:spacing w:after="0"/>
        <w:ind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 До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тендерної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пропозиції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учасник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включити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замовлення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бронювання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потужності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кожного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постачання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газу за договорами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постачання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природного газу.</w:t>
      </w:r>
    </w:p>
    <w:p w:rsidR="004323BC" w:rsidRPr="004323BC" w:rsidRDefault="004323BC" w:rsidP="004323BC">
      <w:pPr>
        <w:tabs>
          <w:tab w:val="left" w:pos="284"/>
          <w:tab w:val="left" w:pos="993"/>
          <w:tab w:val="left" w:pos="1560"/>
        </w:tabs>
        <w:spacing w:after="0"/>
        <w:ind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предмет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даної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закупівлі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обов'язково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повинна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включати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вартості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тендерної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пропозиції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вартість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послуг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пов’язаних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з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транспортуванням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газу</w:t>
      </w: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точки входу в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газорозподільну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систему, до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підключено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Замовника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оплату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замовленої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потужності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постачальником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газу на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Договору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природного газу з Оператором ГТС,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норм Кодексу ГТС за тарифами,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НКРЕКП.</w:t>
      </w:r>
    </w:p>
    <w:p w:rsidR="004323BC" w:rsidRPr="004323BC" w:rsidRDefault="004323BC" w:rsidP="004323BC">
      <w:pPr>
        <w:tabs>
          <w:tab w:val="left" w:pos="284"/>
          <w:tab w:val="left" w:pos="993"/>
          <w:tab w:val="left" w:pos="1560"/>
        </w:tabs>
        <w:spacing w:after="0"/>
        <w:ind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газу </w:t>
      </w:r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не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включається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вартість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послуг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з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розподілу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природного газу</w:t>
      </w: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є предметом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регулювання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окремого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договору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Замовником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Оператором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газорозподільної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323BC" w:rsidRPr="004323BC" w:rsidRDefault="004323BC" w:rsidP="004323BC">
      <w:pPr>
        <w:tabs>
          <w:tab w:val="left" w:pos="284"/>
          <w:tab w:val="left" w:pos="993"/>
          <w:tab w:val="left" w:pos="1560"/>
        </w:tabs>
        <w:ind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4323BC" w:rsidRPr="004323BC" w:rsidRDefault="004323BC" w:rsidP="004323BC">
      <w:pPr>
        <w:tabs>
          <w:tab w:val="left" w:pos="284"/>
          <w:tab w:val="left" w:pos="993"/>
          <w:tab w:val="left" w:pos="1560"/>
        </w:tabs>
        <w:spacing w:after="0"/>
        <w:ind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Умови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постачання</w:t>
      </w:r>
      <w:proofErr w:type="spellEnd"/>
      <w:r w:rsidRPr="00432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323BC" w:rsidRPr="004323BC" w:rsidRDefault="004323BC" w:rsidP="004323BC">
      <w:pPr>
        <w:tabs>
          <w:tab w:val="left" w:pos="284"/>
          <w:tab w:val="left" w:pos="993"/>
          <w:tab w:val="left" w:pos="1560"/>
        </w:tabs>
        <w:spacing w:after="0"/>
        <w:ind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5.1.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Постачальник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своєчасну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реєстрацію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Реєстрі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постачальника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інформаційній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платформі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Оператора ГТС) у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відповідному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розрахунковому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323BC" w:rsidRPr="004323BC" w:rsidRDefault="004323BC" w:rsidP="004323BC">
      <w:pPr>
        <w:tabs>
          <w:tab w:val="left" w:pos="284"/>
          <w:tab w:val="left" w:pos="993"/>
          <w:tab w:val="left" w:pos="1560"/>
        </w:tabs>
        <w:spacing w:after="0"/>
        <w:ind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5.2.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Розподіл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природного газу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об'єктів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Замовника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оператором ГРМ (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Реєстру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суб’єктів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природних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монополій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провадять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господарську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діяльність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сфері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енергетики</w:t>
      </w:r>
      <w:proofErr w:type="spellEnd"/>
      <w:r w:rsidRPr="0043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4323BC" w:rsidRPr="004323BC" w:rsidRDefault="004323BC" w:rsidP="004323B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31DB" w:rsidRPr="004323BC" w:rsidRDefault="004C31DB" w:rsidP="004323BC">
      <w:pPr>
        <w:suppressAutoHyphens/>
        <w:spacing w:after="160" w:line="240" w:lineRule="auto"/>
        <w:ind w:left="2" w:hangingChars="1" w:hanging="2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C31DB" w:rsidRPr="0043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0548"/>
    <w:multiLevelType w:val="multilevel"/>
    <w:tmpl w:val="8A1CF9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1426BDF"/>
    <w:multiLevelType w:val="multilevel"/>
    <w:tmpl w:val="5256161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95F3567"/>
    <w:multiLevelType w:val="multilevel"/>
    <w:tmpl w:val="E0B8A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857F94"/>
    <w:multiLevelType w:val="multilevel"/>
    <w:tmpl w:val="2DE6243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64"/>
    <w:rsid w:val="000E421A"/>
    <w:rsid w:val="002400A5"/>
    <w:rsid w:val="002A6E56"/>
    <w:rsid w:val="002C2508"/>
    <w:rsid w:val="003F5160"/>
    <w:rsid w:val="004323BC"/>
    <w:rsid w:val="004C31DB"/>
    <w:rsid w:val="005C0A9C"/>
    <w:rsid w:val="006248FA"/>
    <w:rsid w:val="00654B9F"/>
    <w:rsid w:val="0066736F"/>
    <w:rsid w:val="00703218"/>
    <w:rsid w:val="0091771C"/>
    <w:rsid w:val="00991F64"/>
    <w:rsid w:val="00AF352A"/>
    <w:rsid w:val="00B57AA3"/>
    <w:rsid w:val="00F06628"/>
    <w:rsid w:val="00F45824"/>
    <w:rsid w:val="00F5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21217"/>
  <w15:docId w15:val="{4D6CC9CD-6E4F-4239-BB21-3478054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0A5"/>
  </w:style>
  <w:style w:type="paragraph" w:styleId="1">
    <w:name w:val="heading 1"/>
    <w:basedOn w:val="a"/>
    <w:link w:val="10"/>
    <w:uiPriority w:val="9"/>
    <w:qFormat/>
    <w:rsid w:val="00F06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62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AF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37">
    <w:name w:val="rvts37"/>
    <w:rsid w:val="004323BC"/>
  </w:style>
  <w:style w:type="character" w:customStyle="1" w:styleId="rvts80">
    <w:name w:val="rvts80"/>
    <w:basedOn w:val="a0"/>
    <w:rsid w:val="0043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6280</Words>
  <Characters>3580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пкТендер</dc:creator>
  <cp:keywords/>
  <dc:description/>
  <cp:lastModifiedBy>Osvita</cp:lastModifiedBy>
  <cp:revision>16</cp:revision>
  <dcterms:created xsi:type="dcterms:W3CDTF">2023-04-25T12:13:00Z</dcterms:created>
  <dcterms:modified xsi:type="dcterms:W3CDTF">2024-11-20T08:24:00Z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98863a35d0a2c68eaf3b38c9669778c59a0aece21336a709a9317469a9261438</vt:lpwstr>
  </property>
</Properties>
</file>